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ООО «Консультационно-аудиторская фирма «Деловая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2D265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0" w:rsidRPr="00B33062" w:rsidRDefault="002C678E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документа, удостоверяющего личность генерального директора</w:t>
            </w:r>
            <w:r w:rsidR="00270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>Петренко Елена Владимировна</w:t>
            </w:r>
          </w:p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>45 16 601376, выдан отделением УФМС России по гор. Москве по району Южнопортовый 01.06.2016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2C6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1B012D" w:rsidRPr="001B012D" w:rsidRDefault="001B012D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Pr="001B012D">
              <w:rPr>
                <w:rFonts w:ascii="Times New Roman" w:hAnsi="Times New Roman"/>
                <w:szCs w:val="24"/>
              </w:rPr>
              <w:t>лен саморегулируемой организации аудиторов «Российский Союз аудиторов» с 0</w:t>
            </w:r>
            <w:r w:rsidRPr="001B012D">
              <w:rPr>
                <w:rFonts w:ascii="Times New Roman" w:hAnsi="Times New Roman"/>
                <w:color w:val="000000"/>
                <w:szCs w:val="24"/>
              </w:rPr>
              <w:t xml:space="preserve">2.12.2016 г. </w:t>
            </w:r>
          </w:p>
          <w:p w:rsidR="002702C0" w:rsidRPr="001B012D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  <w:r w:rsidRPr="001B012D">
              <w:rPr>
                <w:rFonts w:ascii="Times New Roman" w:hAnsi="Times New Roman"/>
                <w:szCs w:val="24"/>
              </w:rPr>
              <w:t>Саморегулируемая организация аудиторов «Российский Союз аудиторов» (Ассоциация) внесена в Государственный Реестр саморегулируемых организаций аудиторов Минфина России 27.11.2009 г.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регистрационный номер в Реестре аудиторов и аудиторских орга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1B012D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1B012D">
              <w:rPr>
                <w:rFonts w:ascii="Times New Roman" w:hAnsi="Times New Roman"/>
                <w:color w:val="000000"/>
                <w:szCs w:val="24"/>
              </w:rPr>
              <w:t>11603077648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1) Баварова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1) Баварова Марианна Евгеньевна – квалификационный аттестат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аттестат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3) Зараева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аттестат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09456B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A384A">
              <w:rPr>
                <w:rFonts w:ascii="Times New Roman" w:hAnsi="Times New Roman"/>
                <w:color w:val="000000"/>
                <w:szCs w:val="24"/>
              </w:rPr>
              <w:t xml:space="preserve">6) 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 xml:space="preserve">Малютина Марина Сергеевна </w:t>
            </w:r>
            <w:r w:rsidR="001B012D"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атте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1B012D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7) Барыкин Максим Владимирович 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Pr="00B33062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Данные 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аудиторы также имеют дипломы о квалификации по международным стандартам финансовой отчетности (МСФО).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корпоративного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ревизионной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общества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внутреннюю деятельность общества (внутренних документов общества);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организации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:rsidR="00837076" w:rsidRPr="00B33062" w:rsidRDefault="002978D9" w:rsidP="00791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системы внутреннего контроля качества 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аудиторской организации, включая заявление исполнительного органа об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функционирования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 законодательства об аудиторской деятельности,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деятельности.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качества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осуществления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оказания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«Консультационно-аудиторская фирма «Деловая Перспектива»;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требования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D51263" w:rsidRPr="0052149B" w:rsidRDefault="0052149B" w:rsidP="00791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</w:t>
            </w:r>
            <w:r w:rsidR="002D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процедуры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Pr="00B33062" w:rsidRDefault="00D51263" w:rsidP="0079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</w:tc>
        <w:tc>
          <w:tcPr>
            <w:tcW w:w="6662" w:type="dxa"/>
            <w:shd w:val="clear" w:color="auto" w:fill="auto"/>
          </w:tcPr>
          <w:p w:rsidR="000A33F1" w:rsidRDefault="00C93C2A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29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ноября 2016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проведена внешняя проверка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Федеральным казначейством.</w:t>
            </w:r>
          </w:p>
          <w:p w:rsidR="000A33F1" w:rsidRDefault="0084615A" w:rsidP="000A33F1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состоянию на 31 декабря 2015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0A33F1">
              <w:rPr>
                <w:rFonts w:ascii="Times New Roman" w:hAnsi="Times New Roman"/>
              </w:rPr>
              <w:t>Саморегулируемой организацией аудиторов Некоммерческое партнерство «Российская Коллегия аудиторов».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Default="00D51263" w:rsidP="009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</w:t>
            </w:r>
            <w:r w:rsidR="00B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 в 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проведен обязательный аудит</w:t>
            </w:r>
          </w:p>
          <w:p w:rsidR="00967E77" w:rsidRPr="00B33062" w:rsidRDefault="00967E77" w:rsidP="0096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9184D" w:rsidRPr="00967E77" w:rsidRDefault="002D2653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4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427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184D" w:rsidRPr="00791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егосударственный пенсионный фонд «</w:t>
            </w:r>
            <w:r w:rsidR="0079184D" w:rsidRPr="0079184D">
              <w:rPr>
                <w:rFonts w:ascii="Times New Roman" w:hAnsi="Times New Roman" w:cs="Times New Roman"/>
                <w:sz w:val="24"/>
                <w:szCs w:val="24"/>
              </w:rPr>
              <w:t>ГАЗФОНД Пенсионные накопле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1341E5" w:rsidRDefault="002D2653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1A6B8E"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0E3B75" w:rsidRPr="00967E77">
              <w:rPr>
                <w:rFonts w:ascii="Times New Roman" w:hAnsi="Times New Roman"/>
                <w:szCs w:val="24"/>
              </w:rPr>
              <w:t>кционерное общество «Главная дорога»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845427" w:rsidRPr="00967E77" w:rsidRDefault="002D2653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45427">
              <w:rPr>
                <w:rFonts w:ascii="Times New Roman" w:hAnsi="Times New Roman"/>
                <w:color w:val="000000"/>
                <w:szCs w:val="24"/>
              </w:rPr>
              <w:t>) Общество с ограниченной ответственностью «Транспортная концессионная компания»;</w:t>
            </w:r>
          </w:p>
          <w:p w:rsidR="00A83861" w:rsidRPr="00967E77" w:rsidRDefault="002D2653" w:rsidP="00967E77">
            <w:pPr>
              <w:pStyle w:val="a4"/>
              <w:widowControl/>
              <w:ind w:firstLine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4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 xml:space="preserve">) </w:t>
            </w:r>
            <w:r w:rsidR="00967E77" w:rsidRPr="00967E77">
              <w:rPr>
                <w:rFonts w:ascii="Times New Roman" w:hAnsi="Times New Roman"/>
                <w:szCs w:val="24"/>
              </w:rPr>
              <w:t>Открытое акционерное общество «ГАЗКОН»</w:t>
            </w:r>
            <w:r w:rsidR="00967E77">
              <w:rPr>
                <w:rFonts w:ascii="Times New Roman" w:hAnsi="Times New Roman"/>
                <w:szCs w:val="24"/>
              </w:rPr>
              <w:t>;</w:t>
            </w:r>
          </w:p>
          <w:p w:rsidR="00837076" w:rsidRDefault="002D2653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>)</w:t>
            </w:r>
            <w:r w:rsidR="00967E77" w:rsidRPr="00967E77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="001A6B8E">
              <w:rPr>
                <w:rFonts w:ascii="Times New Roman" w:hAnsi="Times New Roman"/>
                <w:szCs w:val="24"/>
              </w:rPr>
              <w:t xml:space="preserve">Публичное </w:t>
            </w:r>
            <w:r w:rsidR="00967E77" w:rsidRPr="00967E77">
              <w:rPr>
                <w:rFonts w:ascii="Times New Roman" w:hAnsi="Times New Roman"/>
                <w:szCs w:val="24"/>
              </w:rPr>
              <w:t>акционерное общество «ГАЗ-сервис»</w:t>
            </w:r>
            <w:r w:rsidR="00967E77" w:rsidRPr="00967E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1A6B8E" w:rsidRPr="00967E77" w:rsidRDefault="001A6B8E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6) Общество с ограниченной ответственностью Инвестиционная компания «Фридом Финанс»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организации  о мерах, принимаемых аудиторской организацией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требований о независимости аудиторов.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независимости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«Консультационно-аудиторская фирма «Деловая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51263" w:rsidRPr="0052149B" w:rsidRDefault="0052149B" w:rsidP="0079184D">
            <w:pPr>
              <w:pStyle w:val="HTML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2D265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выявленных случаях.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09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аудиторской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201</w:t>
            </w:r>
            <w:r w:rsidR="002D2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BD4975" w:rsidP="00BD4975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73759D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73759D">
              <w:rPr>
                <w:rFonts w:ascii="Times New Roman" w:hAnsi="Times New Roman"/>
                <w:color w:val="000000"/>
                <w:szCs w:val="24"/>
              </w:rPr>
              <w:t>693</w:t>
            </w:r>
            <w:bookmarkStart w:id="0" w:name="_GoBack"/>
            <w:bookmarkEnd w:id="0"/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</w:tc>
      </w:tr>
    </w:tbl>
    <w:p w:rsidR="00D51263" w:rsidRPr="00A83861" w:rsidRDefault="00D51263" w:rsidP="00A8386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D51263" w:rsidRPr="00A83861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9456B"/>
    <w:rsid w:val="00095682"/>
    <w:rsid w:val="000A33F1"/>
    <w:rsid w:val="000E3B75"/>
    <w:rsid w:val="000E4476"/>
    <w:rsid w:val="001341E5"/>
    <w:rsid w:val="001451A8"/>
    <w:rsid w:val="00162237"/>
    <w:rsid w:val="001A6B8E"/>
    <w:rsid w:val="001B012D"/>
    <w:rsid w:val="002702C0"/>
    <w:rsid w:val="00292B9D"/>
    <w:rsid w:val="002978D9"/>
    <w:rsid w:val="002A384A"/>
    <w:rsid w:val="002C678E"/>
    <w:rsid w:val="002D2653"/>
    <w:rsid w:val="0052149B"/>
    <w:rsid w:val="006741A8"/>
    <w:rsid w:val="0073759D"/>
    <w:rsid w:val="0079184D"/>
    <w:rsid w:val="00837076"/>
    <w:rsid w:val="00845427"/>
    <w:rsid w:val="0084615A"/>
    <w:rsid w:val="008E2BCA"/>
    <w:rsid w:val="009677D0"/>
    <w:rsid w:val="00967E77"/>
    <w:rsid w:val="00A83861"/>
    <w:rsid w:val="00B33062"/>
    <w:rsid w:val="00B75617"/>
    <w:rsid w:val="00BD4975"/>
    <w:rsid w:val="00C93C2A"/>
    <w:rsid w:val="00CB6644"/>
    <w:rsid w:val="00D22331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E25F"/>
  <w15:docId w15:val="{05344C51-7F64-44A4-989B-3A0F4F1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422E-22DB-4E92-AC0E-79B687B2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31</cp:revision>
  <dcterms:created xsi:type="dcterms:W3CDTF">2015-03-10T13:20:00Z</dcterms:created>
  <dcterms:modified xsi:type="dcterms:W3CDTF">2019-08-08T12:18:00Z</dcterms:modified>
</cp:coreProperties>
</file>